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45" w:rsidRPr="005C4B45" w:rsidRDefault="007E2EF3" w:rsidP="005C4B45">
      <w:pPr>
        <w:rPr>
          <w:rFonts w:ascii="Calibri" w:hAnsi="Calibri"/>
          <w:b/>
          <w:color w:val="1F497D"/>
          <w:sz w:val="32"/>
          <w:szCs w:val="32"/>
        </w:rPr>
      </w:pPr>
      <w:r>
        <w:rPr>
          <w:rFonts w:ascii="Calibri" w:hAnsi="Calibri"/>
          <w:b/>
          <w:color w:val="1F497D"/>
          <w:sz w:val="32"/>
          <w:szCs w:val="32"/>
        </w:rPr>
        <w:t xml:space="preserve">Wells Fargo </w:t>
      </w:r>
      <w:bookmarkStart w:id="0" w:name="_GoBack"/>
      <w:bookmarkEnd w:id="0"/>
      <w:r w:rsidR="005C4B45" w:rsidRPr="005C4B45">
        <w:rPr>
          <w:rFonts w:ascii="Calibri" w:hAnsi="Calibri"/>
          <w:b/>
          <w:color w:val="1F497D"/>
          <w:sz w:val="32"/>
          <w:szCs w:val="32"/>
        </w:rPr>
        <w:t>Analyst 3</w:t>
      </w:r>
    </w:p>
    <w:tbl>
      <w:tblPr>
        <w:tblW w:w="7188" w:type="dxa"/>
        <w:tblCellSpacing w:w="0" w:type="dxa"/>
        <w:tblCellMar>
          <w:left w:w="0" w:type="dxa"/>
          <w:right w:w="0" w:type="dxa"/>
        </w:tblCellMar>
        <w:tblLook w:val="04A0" w:firstRow="1" w:lastRow="0" w:firstColumn="1" w:lastColumn="0" w:noHBand="0" w:noVBand="1"/>
      </w:tblPr>
      <w:tblGrid>
        <w:gridCol w:w="6"/>
        <w:gridCol w:w="3534"/>
        <w:gridCol w:w="3534"/>
        <w:gridCol w:w="114"/>
      </w:tblGrid>
      <w:tr w:rsidR="005C4B45" w:rsidRPr="005C4B45" w:rsidTr="005C4B45">
        <w:trPr>
          <w:tblCellSpacing w:w="0" w:type="dxa"/>
        </w:trPr>
        <w:tc>
          <w:tcPr>
            <w:tcW w:w="0" w:type="auto"/>
            <w:gridSpan w:val="2"/>
            <w:hideMark/>
          </w:tcPr>
          <w:p w:rsidR="005C4B45" w:rsidRPr="005C4B45" w:rsidRDefault="005C4B45">
            <w:pPr>
              <w:rPr>
                <w:rFonts w:ascii="Calibri" w:hAnsi="Calibri"/>
                <w:color w:val="1F497D"/>
                <w:sz w:val="22"/>
                <w:szCs w:val="22"/>
              </w:rPr>
            </w:pPr>
          </w:p>
        </w:tc>
        <w:tc>
          <w:tcPr>
            <w:tcW w:w="3588" w:type="dxa"/>
            <w:gridSpan w:val="2"/>
            <w:vAlign w:val="center"/>
            <w:hideMark/>
          </w:tcPr>
          <w:p w:rsidR="005C4B45" w:rsidRPr="005C4B45" w:rsidRDefault="005C4B45">
            <w:pPr>
              <w:rPr>
                <w:rFonts w:ascii="Calibri" w:hAnsi="Calibri"/>
                <w:color w:val="1F497D"/>
                <w:sz w:val="22"/>
                <w:szCs w:val="22"/>
              </w:rPr>
            </w:pPr>
            <w:r w:rsidRPr="005C4B45">
              <w:rPr>
                <w:rFonts w:ascii="Calibri" w:hAnsi="Calibri"/>
                <w:color w:val="1F497D"/>
                <w:sz w:val="22"/>
                <w:szCs w:val="22"/>
              </w:rPr>
              <w:t> </w:t>
            </w:r>
          </w:p>
        </w:tc>
      </w:tr>
      <w:tr w:rsidR="005C4B45" w:rsidRPr="005C4B45" w:rsidTr="005C4B45">
        <w:trPr>
          <w:trHeight w:val="228"/>
          <w:tblCellSpacing w:w="0" w:type="dxa"/>
        </w:trPr>
        <w:tc>
          <w:tcPr>
            <w:tcW w:w="0" w:type="auto"/>
            <w:vAlign w:val="center"/>
            <w:hideMark/>
          </w:tcPr>
          <w:p w:rsidR="005C4B45" w:rsidRPr="005C4B45" w:rsidRDefault="005C4B45">
            <w:pPr>
              <w:rPr>
                <w:rFonts w:ascii="Calibri" w:hAnsi="Calibri"/>
                <w:color w:val="1F497D"/>
                <w:sz w:val="22"/>
                <w:szCs w:val="22"/>
              </w:rPr>
            </w:pPr>
          </w:p>
        </w:tc>
        <w:tc>
          <w:tcPr>
            <w:tcW w:w="0" w:type="auto"/>
            <w:gridSpan w:val="2"/>
            <w:hideMark/>
          </w:tcPr>
          <w:tbl>
            <w:tblPr>
              <w:tblW w:w="7068" w:type="dxa"/>
              <w:tblCellSpacing w:w="0" w:type="dxa"/>
              <w:tblCellMar>
                <w:left w:w="0" w:type="dxa"/>
                <w:right w:w="0" w:type="dxa"/>
              </w:tblCellMar>
              <w:tblLook w:val="04A0" w:firstRow="1" w:lastRow="0" w:firstColumn="1" w:lastColumn="0" w:noHBand="0" w:noVBand="1"/>
            </w:tblPr>
            <w:tblGrid>
              <w:gridCol w:w="7068"/>
            </w:tblGrid>
            <w:tr w:rsidR="005C4B45" w:rsidRPr="005C4B45">
              <w:trPr>
                <w:tblCellSpacing w:w="0" w:type="dxa"/>
              </w:trPr>
              <w:tc>
                <w:tcPr>
                  <w:tcW w:w="0" w:type="auto"/>
                  <w:vAlign w:val="center"/>
                  <w:hideMark/>
                </w:tcPr>
                <w:p w:rsidR="005C4B45" w:rsidRPr="005C4B45" w:rsidRDefault="005C4B45" w:rsidP="005C4B45">
                  <w:pPr>
                    <w:jc w:val="center"/>
                    <w:rPr>
                      <w:rFonts w:ascii="Calibri" w:hAnsi="Calibri"/>
                      <w:b/>
                      <w:color w:val="1F497D"/>
                      <w:sz w:val="22"/>
                      <w:szCs w:val="22"/>
                    </w:rPr>
                  </w:pPr>
                  <w:r w:rsidRPr="005C4B45">
                    <w:rPr>
                      <w:rFonts w:ascii="Calibri" w:hAnsi="Calibri"/>
                      <w:b/>
                      <w:color w:val="1F497D"/>
                      <w:sz w:val="22"/>
                      <w:szCs w:val="22"/>
                    </w:rPr>
                    <w:t>Job Description</w:t>
                  </w:r>
                </w:p>
              </w:tc>
            </w:tr>
            <w:tr w:rsidR="005C4B45" w:rsidRPr="005C4B45">
              <w:trPr>
                <w:tblCellSpacing w:w="0" w:type="dxa"/>
              </w:trPr>
              <w:tc>
                <w:tcPr>
                  <w:tcW w:w="7068" w:type="dxa"/>
                  <w:vAlign w:val="center"/>
                  <w:hideMark/>
                </w:tcPr>
                <w:tbl>
                  <w:tblPr>
                    <w:tblW w:w="7068" w:type="dxa"/>
                    <w:tblCellSpacing w:w="0" w:type="dxa"/>
                    <w:tblBorders>
                      <w:top w:val="single" w:sz="8" w:space="0" w:color="E6E6E6"/>
                      <w:left w:val="single" w:sz="8" w:space="0" w:color="E6E6E6"/>
                      <w:bottom w:val="single" w:sz="8" w:space="0" w:color="E6E6E6"/>
                      <w:right w:val="single" w:sz="8" w:space="0" w:color="E6E6E6"/>
                    </w:tblBorders>
                    <w:tblCellMar>
                      <w:left w:w="0" w:type="dxa"/>
                      <w:right w:w="0" w:type="dxa"/>
                    </w:tblCellMar>
                    <w:tblLook w:val="04A0" w:firstRow="1" w:lastRow="0" w:firstColumn="1" w:lastColumn="0" w:noHBand="0" w:noVBand="1"/>
                  </w:tblPr>
                  <w:tblGrid>
                    <w:gridCol w:w="16"/>
                    <w:gridCol w:w="7052"/>
                  </w:tblGrid>
                  <w:tr w:rsidR="005C4B45" w:rsidRPr="005C4B45">
                    <w:trPr>
                      <w:tblCellSpacing w:w="0" w:type="dxa"/>
                    </w:trPr>
                    <w:tc>
                      <w:tcPr>
                        <w:tcW w:w="60"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7008"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r>
                  <w:tr w:rsidR="005C4B45" w:rsidRPr="005C4B45">
                    <w:trPr>
                      <w:trHeight w:val="96"/>
                      <w:tblCellSpacing w:w="0" w:type="dxa"/>
                    </w:trPr>
                    <w:tc>
                      <w:tcPr>
                        <w:tcW w:w="0" w:type="auto"/>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0" w:type="auto"/>
                        <w:tcBorders>
                          <w:top w:val="nil"/>
                          <w:left w:val="nil"/>
                          <w:bottom w:val="nil"/>
                          <w:right w:val="nil"/>
                        </w:tcBorders>
                        <w:hideMark/>
                      </w:tcPr>
                      <w:p w:rsidR="005C4B45" w:rsidRDefault="005C4B45">
                        <w:pPr>
                          <w:rPr>
                            <w:rFonts w:ascii="Calibri" w:hAnsi="Calibri"/>
                            <w:color w:val="1F497D"/>
                            <w:sz w:val="22"/>
                            <w:szCs w:val="22"/>
                          </w:rPr>
                        </w:pPr>
                        <w:r w:rsidRPr="005C4B45">
                          <w:rPr>
                            <w:rFonts w:ascii="Calibri" w:hAnsi="Calibri"/>
                            <w:color w:val="1F497D"/>
                            <w:sz w:val="22"/>
                            <w:szCs w:val="22"/>
                          </w:rPr>
                          <w:t xml:space="preserve">Government and Institutional Banking (GIB): Unique to the industry, GIB brings together Capital Markets and Commercial Banking solutions for the government, education, tax-exempt and nonprofit healthcare sectors into one team, offering an integrated approach that centers our business </w:t>
                        </w:r>
                        <w:proofErr w:type="gramStart"/>
                        <w:r w:rsidRPr="005C4B45">
                          <w:rPr>
                            <w:rFonts w:ascii="Calibri" w:hAnsi="Calibri"/>
                            <w:color w:val="1F497D"/>
                            <w:sz w:val="22"/>
                            <w:szCs w:val="22"/>
                          </w:rPr>
                          <w:t>around</w:t>
                        </w:r>
                        <w:proofErr w:type="gramEnd"/>
                        <w:r w:rsidRPr="005C4B45">
                          <w:rPr>
                            <w:rFonts w:ascii="Calibri" w:hAnsi="Calibri"/>
                            <w:color w:val="1F497D"/>
                            <w:sz w:val="22"/>
                            <w:szCs w:val="22"/>
                          </w:rPr>
                          <w:t xml:space="preserve"> the needs of our client.  We take great pride in approaching each relationship individually, as one team, leveraging the resources of Wells Fargo to create the most value for our client.</w:t>
                        </w:r>
                      </w:p>
                      <w:p w:rsidR="005C4B45" w:rsidRPr="005C4B45" w:rsidRDefault="005C4B45">
                        <w:pPr>
                          <w:rPr>
                            <w:rFonts w:ascii="Calibri" w:hAnsi="Calibri"/>
                            <w:color w:val="1F497D"/>
                            <w:sz w:val="22"/>
                            <w:szCs w:val="22"/>
                          </w:rPr>
                        </w:pPr>
                      </w:p>
                      <w:p w:rsidR="005C4B45" w:rsidRDefault="005C4B45">
                        <w:pPr>
                          <w:rPr>
                            <w:rFonts w:ascii="Calibri" w:hAnsi="Calibri"/>
                            <w:color w:val="1F497D"/>
                            <w:sz w:val="22"/>
                            <w:szCs w:val="22"/>
                          </w:rPr>
                        </w:pPr>
                        <w:r w:rsidRPr="005C4B45">
                          <w:rPr>
                            <w:rFonts w:ascii="Calibri" w:hAnsi="Calibri"/>
                            <w:color w:val="1F497D"/>
                            <w:sz w:val="22"/>
                            <w:szCs w:val="22"/>
                          </w:rPr>
                          <w:t>Assume significant responsibilities that may include: Investment Banking – Partners closely with senior investment bankers on client presentation materials, responding to requests for proposals, building and analyzing municipal financial structures and recommending potential financing opportunities; Derivatives Marketing - Partners closely with derivative marketing team on client presentation materials, responding to requests for proposals and recommending potential derivative solutions; Syndicate - Coordinates with Investment Banking, Sales and Trading teams to execute negotiated and competitive transactions for issuer clients; Trading - Provides analytical support to senior traders, utilizes risk-management tools to monitor trading positions and manage risk, generates daily P&amp;L and risk management reports; Institutional Sales - Partners closely with a senior sales specialist to create and sustain institutional customer relationships by providing value in the primary and secondary markets.</w:t>
                        </w:r>
                      </w:p>
                      <w:p w:rsidR="005C4B45" w:rsidRPr="005C4B45" w:rsidRDefault="005C4B45">
                        <w:pPr>
                          <w:rPr>
                            <w:rFonts w:ascii="Calibri" w:hAnsi="Calibri"/>
                            <w:color w:val="1F497D"/>
                            <w:sz w:val="22"/>
                            <w:szCs w:val="22"/>
                          </w:rPr>
                        </w:pPr>
                      </w:p>
                      <w:p w:rsidR="005C4B45" w:rsidRPr="005C4B45" w:rsidRDefault="005C4B45">
                        <w:pPr>
                          <w:spacing w:line="96" w:lineRule="atLeast"/>
                          <w:rPr>
                            <w:rFonts w:ascii="Calibri" w:hAnsi="Calibri"/>
                            <w:color w:val="1F497D"/>
                            <w:sz w:val="22"/>
                            <w:szCs w:val="22"/>
                          </w:rPr>
                        </w:pPr>
                        <w:r w:rsidRPr="005C4B45">
                          <w:rPr>
                            <w:rFonts w:ascii="Calibri" w:hAnsi="Calibri"/>
                            <w:color w:val="1F497D"/>
                            <w:sz w:val="22"/>
                            <w:szCs w:val="22"/>
                          </w:rPr>
                          <w:t>Team members support our focus on building strong customer relationships balanced with a strong risk mitigating and compliance-driven culture which firmly establishes those disciplines as critical to the success of our customers and company. They are accountable for execution of all applicable risk programs (Credit, Market, Financial Crimes, Operational, Regulatory Compliance), which includes effectively following and adhering to applicable Wells Fargo policies and procedures, appropriately fulfilling risk and compliance obligations, timely and effective escalation and remediation of issues, and making sound risk decisions. There is emphasis on proactive monitoring, governance, risk identification and escalation, as well as making sound risk decisions commensurate with the business unit’s risk appetite and all risk and compliance program requirements.</w:t>
                        </w:r>
                      </w:p>
                    </w:tc>
                  </w:tr>
                </w:tbl>
                <w:p w:rsidR="005C4B45" w:rsidRPr="005C4B45" w:rsidRDefault="005C4B45">
                  <w:pPr>
                    <w:rPr>
                      <w:rFonts w:ascii="Calibri" w:hAnsi="Calibri"/>
                      <w:color w:val="1F497D"/>
                      <w:sz w:val="22"/>
                      <w:szCs w:val="22"/>
                    </w:rPr>
                  </w:pPr>
                </w:p>
              </w:tc>
            </w:tr>
          </w:tbl>
          <w:p w:rsidR="005C4B45" w:rsidRPr="005C4B45" w:rsidRDefault="005C4B45">
            <w:pPr>
              <w:rPr>
                <w:rFonts w:ascii="Calibri" w:hAnsi="Calibri"/>
                <w:color w:val="1F497D"/>
                <w:sz w:val="22"/>
                <w:szCs w:val="22"/>
              </w:rPr>
            </w:pPr>
          </w:p>
        </w:tc>
        <w:tc>
          <w:tcPr>
            <w:tcW w:w="60" w:type="dxa"/>
            <w:vAlign w:val="center"/>
            <w:hideMark/>
          </w:tcPr>
          <w:p w:rsidR="005C4B45" w:rsidRPr="005C4B45" w:rsidRDefault="005C4B45">
            <w:pPr>
              <w:spacing w:line="228" w:lineRule="atLeast"/>
              <w:rPr>
                <w:rFonts w:ascii="Calibri" w:hAnsi="Calibri"/>
                <w:color w:val="1F497D"/>
                <w:sz w:val="22"/>
                <w:szCs w:val="22"/>
              </w:rPr>
            </w:pPr>
            <w:r w:rsidRPr="005C4B45">
              <w:rPr>
                <w:rFonts w:ascii="Calibri" w:hAnsi="Calibri"/>
                <w:color w:val="1F497D"/>
                <w:sz w:val="22"/>
                <w:szCs w:val="22"/>
              </w:rPr>
              <w:t> </w:t>
            </w:r>
          </w:p>
        </w:tc>
      </w:tr>
      <w:tr w:rsidR="005C4B45" w:rsidRPr="005C4B45" w:rsidTr="005C4B45">
        <w:trPr>
          <w:trHeight w:val="120"/>
          <w:tblCellSpacing w:w="0" w:type="dxa"/>
        </w:trPr>
        <w:tc>
          <w:tcPr>
            <w:tcW w:w="0" w:type="auto"/>
            <w:gridSpan w:val="4"/>
            <w:vAlign w:val="center"/>
            <w:hideMark/>
          </w:tcPr>
          <w:p w:rsidR="005C4B45" w:rsidRPr="005C4B45" w:rsidRDefault="005C4B45">
            <w:pPr>
              <w:rPr>
                <w:rFonts w:ascii="Calibri" w:hAnsi="Calibri"/>
                <w:color w:val="1F497D"/>
                <w:sz w:val="22"/>
                <w:szCs w:val="22"/>
              </w:rPr>
            </w:pPr>
          </w:p>
        </w:tc>
      </w:tr>
      <w:tr w:rsidR="005C4B45" w:rsidRPr="005C4B45" w:rsidTr="005C4B45">
        <w:trPr>
          <w:trHeight w:val="288"/>
          <w:tblCellSpacing w:w="0" w:type="dxa"/>
        </w:trPr>
        <w:tc>
          <w:tcPr>
            <w:tcW w:w="0" w:type="auto"/>
            <w:gridSpan w:val="2"/>
            <w:vAlign w:val="center"/>
            <w:hideMark/>
          </w:tcPr>
          <w:p w:rsidR="005C4B45" w:rsidRPr="005C4B45" w:rsidRDefault="005C4B45" w:rsidP="005C4B45">
            <w:pPr>
              <w:rPr>
                <w:rFonts w:ascii="Calibri" w:hAnsi="Calibri"/>
                <w:color w:val="1F497D"/>
                <w:sz w:val="22"/>
                <w:szCs w:val="22"/>
              </w:rPr>
            </w:pPr>
          </w:p>
        </w:tc>
        <w:tc>
          <w:tcPr>
            <w:tcW w:w="0" w:type="auto"/>
            <w:gridSpan w:val="2"/>
            <w:hideMark/>
          </w:tcPr>
          <w:p w:rsidR="005C4B45" w:rsidRPr="005C4B45" w:rsidRDefault="005C4B45">
            <w:pPr>
              <w:rPr>
                <w:rFonts w:ascii="Calibri" w:hAnsi="Calibri"/>
                <w:b/>
                <w:color w:val="1F497D"/>
                <w:sz w:val="22"/>
                <w:szCs w:val="22"/>
              </w:rPr>
            </w:pPr>
            <w:r w:rsidRPr="005C4B45">
              <w:rPr>
                <w:rFonts w:ascii="Calibri" w:hAnsi="Calibri"/>
                <w:b/>
                <w:color w:val="1F497D"/>
                <w:sz w:val="22"/>
                <w:szCs w:val="22"/>
              </w:rPr>
              <w:t xml:space="preserve">Required Qualifications </w:t>
            </w:r>
          </w:p>
        </w:tc>
      </w:tr>
      <w:tr w:rsidR="005C4B45" w:rsidRPr="005C4B45" w:rsidTr="005C4B45">
        <w:trPr>
          <w:trHeight w:val="228"/>
          <w:tblCellSpacing w:w="0" w:type="dxa"/>
        </w:trPr>
        <w:tc>
          <w:tcPr>
            <w:tcW w:w="0" w:type="auto"/>
            <w:vAlign w:val="center"/>
            <w:hideMark/>
          </w:tcPr>
          <w:p w:rsidR="005C4B45" w:rsidRPr="005C4B45" w:rsidRDefault="005C4B45">
            <w:pPr>
              <w:rPr>
                <w:rFonts w:ascii="Calibri" w:hAnsi="Calibri"/>
                <w:color w:val="1F497D"/>
                <w:sz w:val="22"/>
                <w:szCs w:val="22"/>
              </w:rPr>
            </w:pPr>
          </w:p>
        </w:tc>
        <w:tc>
          <w:tcPr>
            <w:tcW w:w="0" w:type="auto"/>
            <w:gridSpan w:val="2"/>
            <w:hideMark/>
          </w:tcPr>
          <w:tbl>
            <w:tblPr>
              <w:tblW w:w="7068" w:type="dxa"/>
              <w:tblCellSpacing w:w="0" w:type="dxa"/>
              <w:tblCellMar>
                <w:left w:w="0" w:type="dxa"/>
                <w:right w:w="0" w:type="dxa"/>
              </w:tblCellMar>
              <w:tblLook w:val="04A0" w:firstRow="1" w:lastRow="0" w:firstColumn="1" w:lastColumn="0" w:noHBand="0" w:noVBand="1"/>
            </w:tblPr>
            <w:tblGrid>
              <w:gridCol w:w="7068"/>
            </w:tblGrid>
            <w:tr w:rsidR="005C4B45" w:rsidRPr="005C4B45">
              <w:trPr>
                <w:tblCellSpacing w:w="0" w:type="dxa"/>
              </w:trPr>
              <w:tc>
                <w:tcPr>
                  <w:tcW w:w="7068" w:type="dxa"/>
                  <w:vAlign w:val="center"/>
                  <w:hideMark/>
                </w:tcPr>
                <w:tbl>
                  <w:tblPr>
                    <w:tblW w:w="7068" w:type="dxa"/>
                    <w:tblCellSpacing w:w="0" w:type="dxa"/>
                    <w:tblBorders>
                      <w:top w:val="single" w:sz="8" w:space="0" w:color="E6E6E6"/>
                      <w:left w:val="single" w:sz="8" w:space="0" w:color="E6E6E6"/>
                      <w:bottom w:val="single" w:sz="8" w:space="0" w:color="E6E6E6"/>
                      <w:right w:val="single" w:sz="8" w:space="0" w:color="E6E6E6"/>
                    </w:tblBorders>
                    <w:tblCellMar>
                      <w:left w:w="0" w:type="dxa"/>
                      <w:right w:w="0" w:type="dxa"/>
                    </w:tblCellMar>
                    <w:tblLook w:val="04A0" w:firstRow="1" w:lastRow="0" w:firstColumn="1" w:lastColumn="0" w:noHBand="0" w:noVBand="1"/>
                  </w:tblPr>
                  <w:tblGrid>
                    <w:gridCol w:w="60"/>
                    <w:gridCol w:w="7008"/>
                  </w:tblGrid>
                  <w:tr w:rsidR="005C4B45" w:rsidRPr="005C4B45">
                    <w:trPr>
                      <w:tblCellSpacing w:w="0" w:type="dxa"/>
                    </w:trPr>
                    <w:tc>
                      <w:tcPr>
                        <w:tcW w:w="60"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7008"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r>
                  <w:tr w:rsidR="005C4B45" w:rsidRPr="005C4B45">
                    <w:trPr>
                      <w:trHeight w:val="96"/>
                      <w:tblCellSpacing w:w="0" w:type="dxa"/>
                    </w:trPr>
                    <w:tc>
                      <w:tcPr>
                        <w:tcW w:w="0" w:type="auto"/>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0" w:type="auto"/>
                        <w:tcBorders>
                          <w:top w:val="nil"/>
                          <w:left w:val="nil"/>
                          <w:bottom w:val="nil"/>
                          <w:right w:val="nil"/>
                        </w:tcBorders>
                        <w:hideMark/>
                      </w:tcPr>
                      <w:p w:rsidR="005C4B45" w:rsidRPr="005C4B45" w:rsidRDefault="005C4B45" w:rsidP="00BB6D68">
                        <w:pPr>
                          <w:numPr>
                            <w:ilvl w:val="0"/>
                            <w:numId w:val="1"/>
                          </w:numPr>
                          <w:spacing w:line="96" w:lineRule="atLeast"/>
                          <w:rPr>
                            <w:rFonts w:ascii="Calibri" w:hAnsi="Calibri"/>
                            <w:color w:val="1F497D"/>
                            <w:sz w:val="22"/>
                            <w:szCs w:val="22"/>
                          </w:rPr>
                        </w:pPr>
                        <w:r w:rsidRPr="005C4B45">
                          <w:rPr>
                            <w:rFonts w:ascii="Calibri" w:hAnsi="Calibri"/>
                            <w:color w:val="1F497D"/>
                            <w:sz w:val="22"/>
                            <w:szCs w:val="22"/>
                          </w:rPr>
                          <w:t>2+ years of capital markets industry experience</w:t>
                        </w:r>
                      </w:p>
                    </w:tc>
                  </w:tr>
                </w:tbl>
                <w:p w:rsidR="005C4B45" w:rsidRPr="005C4B45" w:rsidRDefault="005C4B45">
                  <w:pPr>
                    <w:rPr>
                      <w:rFonts w:ascii="Calibri" w:hAnsi="Calibri"/>
                      <w:color w:val="1F497D"/>
                      <w:sz w:val="22"/>
                      <w:szCs w:val="22"/>
                    </w:rPr>
                  </w:pPr>
                </w:p>
              </w:tc>
            </w:tr>
          </w:tbl>
          <w:p w:rsidR="005C4B45" w:rsidRPr="005C4B45" w:rsidRDefault="005C4B45">
            <w:pPr>
              <w:rPr>
                <w:rFonts w:ascii="Calibri" w:hAnsi="Calibri"/>
                <w:color w:val="1F497D"/>
                <w:sz w:val="22"/>
                <w:szCs w:val="22"/>
              </w:rPr>
            </w:pPr>
          </w:p>
        </w:tc>
        <w:tc>
          <w:tcPr>
            <w:tcW w:w="0" w:type="auto"/>
            <w:vAlign w:val="center"/>
            <w:hideMark/>
          </w:tcPr>
          <w:p w:rsidR="005C4B45" w:rsidRPr="005C4B45" w:rsidRDefault="005C4B45">
            <w:pPr>
              <w:rPr>
                <w:rFonts w:ascii="Calibri" w:hAnsi="Calibri"/>
                <w:color w:val="1F497D"/>
                <w:sz w:val="22"/>
                <w:szCs w:val="22"/>
              </w:rPr>
            </w:pPr>
          </w:p>
        </w:tc>
      </w:tr>
      <w:tr w:rsidR="005C4B45" w:rsidRPr="005C4B45" w:rsidTr="005C4B45">
        <w:trPr>
          <w:trHeight w:val="120"/>
          <w:tblCellSpacing w:w="0" w:type="dxa"/>
        </w:trPr>
        <w:tc>
          <w:tcPr>
            <w:tcW w:w="0" w:type="auto"/>
            <w:gridSpan w:val="4"/>
            <w:vAlign w:val="center"/>
            <w:hideMark/>
          </w:tcPr>
          <w:p w:rsidR="005C4B45" w:rsidRPr="005C4B45" w:rsidRDefault="005C4B45">
            <w:pPr>
              <w:rPr>
                <w:rFonts w:ascii="Calibri" w:hAnsi="Calibri"/>
                <w:color w:val="1F497D"/>
                <w:sz w:val="22"/>
                <w:szCs w:val="22"/>
              </w:rPr>
            </w:pPr>
          </w:p>
        </w:tc>
      </w:tr>
      <w:tr w:rsidR="005C4B45" w:rsidRPr="005C4B45" w:rsidTr="005C4B45">
        <w:trPr>
          <w:trHeight w:val="288"/>
          <w:tblCellSpacing w:w="0" w:type="dxa"/>
        </w:trPr>
        <w:tc>
          <w:tcPr>
            <w:tcW w:w="0" w:type="auto"/>
            <w:gridSpan w:val="2"/>
            <w:vAlign w:val="center"/>
            <w:hideMark/>
          </w:tcPr>
          <w:p w:rsidR="005C4B45" w:rsidRPr="005C4B45" w:rsidRDefault="005C4B45">
            <w:pPr>
              <w:rPr>
                <w:rFonts w:ascii="Calibri" w:hAnsi="Calibri"/>
                <w:color w:val="1F497D"/>
                <w:sz w:val="22"/>
                <w:szCs w:val="22"/>
              </w:rPr>
            </w:pPr>
          </w:p>
        </w:tc>
        <w:tc>
          <w:tcPr>
            <w:tcW w:w="0" w:type="auto"/>
            <w:gridSpan w:val="2"/>
            <w:hideMark/>
          </w:tcPr>
          <w:p w:rsidR="005C4B45" w:rsidRPr="005C4B45" w:rsidRDefault="005C4B45">
            <w:pPr>
              <w:rPr>
                <w:rFonts w:ascii="Calibri" w:hAnsi="Calibri"/>
                <w:b/>
                <w:color w:val="1F497D"/>
                <w:sz w:val="22"/>
                <w:szCs w:val="22"/>
              </w:rPr>
            </w:pPr>
            <w:r w:rsidRPr="005C4B45">
              <w:rPr>
                <w:rFonts w:ascii="Calibri" w:hAnsi="Calibri"/>
                <w:b/>
                <w:color w:val="1F497D"/>
                <w:sz w:val="22"/>
                <w:szCs w:val="22"/>
              </w:rPr>
              <w:t xml:space="preserve">Other Desired Qualifications </w:t>
            </w:r>
          </w:p>
        </w:tc>
      </w:tr>
      <w:tr w:rsidR="005C4B45" w:rsidRPr="005C4B45" w:rsidTr="005C4B45">
        <w:trPr>
          <w:trHeight w:val="228"/>
          <w:tblCellSpacing w:w="0" w:type="dxa"/>
        </w:trPr>
        <w:tc>
          <w:tcPr>
            <w:tcW w:w="0" w:type="auto"/>
            <w:vAlign w:val="center"/>
            <w:hideMark/>
          </w:tcPr>
          <w:p w:rsidR="005C4B45" w:rsidRPr="005C4B45" w:rsidRDefault="005C4B45">
            <w:pPr>
              <w:rPr>
                <w:rFonts w:ascii="Calibri" w:hAnsi="Calibri"/>
                <w:color w:val="1F497D"/>
                <w:sz w:val="22"/>
                <w:szCs w:val="22"/>
              </w:rPr>
            </w:pPr>
          </w:p>
        </w:tc>
        <w:tc>
          <w:tcPr>
            <w:tcW w:w="0" w:type="auto"/>
            <w:gridSpan w:val="2"/>
            <w:hideMark/>
          </w:tcPr>
          <w:tbl>
            <w:tblPr>
              <w:tblW w:w="7068" w:type="dxa"/>
              <w:tblCellSpacing w:w="0" w:type="dxa"/>
              <w:tblCellMar>
                <w:left w:w="0" w:type="dxa"/>
                <w:right w:w="0" w:type="dxa"/>
              </w:tblCellMar>
              <w:tblLook w:val="04A0" w:firstRow="1" w:lastRow="0" w:firstColumn="1" w:lastColumn="0" w:noHBand="0" w:noVBand="1"/>
            </w:tblPr>
            <w:tblGrid>
              <w:gridCol w:w="7068"/>
            </w:tblGrid>
            <w:tr w:rsidR="005C4B45" w:rsidRPr="005C4B45">
              <w:trPr>
                <w:tblCellSpacing w:w="0" w:type="dxa"/>
              </w:trPr>
              <w:tc>
                <w:tcPr>
                  <w:tcW w:w="7068" w:type="dxa"/>
                  <w:vAlign w:val="center"/>
                  <w:hideMark/>
                </w:tcPr>
                <w:tbl>
                  <w:tblPr>
                    <w:tblW w:w="7068" w:type="dxa"/>
                    <w:tblCellSpacing w:w="0" w:type="dxa"/>
                    <w:tblBorders>
                      <w:top w:val="single" w:sz="8" w:space="0" w:color="E6E6E6"/>
                      <w:left w:val="single" w:sz="8" w:space="0" w:color="E6E6E6"/>
                      <w:bottom w:val="single" w:sz="8" w:space="0" w:color="E6E6E6"/>
                      <w:right w:val="single" w:sz="8" w:space="0" w:color="E6E6E6"/>
                    </w:tblBorders>
                    <w:tblCellMar>
                      <w:left w:w="0" w:type="dxa"/>
                      <w:right w:w="0" w:type="dxa"/>
                    </w:tblCellMar>
                    <w:tblLook w:val="04A0" w:firstRow="1" w:lastRow="0" w:firstColumn="1" w:lastColumn="0" w:noHBand="0" w:noVBand="1"/>
                  </w:tblPr>
                  <w:tblGrid>
                    <w:gridCol w:w="34"/>
                    <w:gridCol w:w="7034"/>
                  </w:tblGrid>
                  <w:tr w:rsidR="005C4B45" w:rsidRPr="005C4B45">
                    <w:trPr>
                      <w:tblCellSpacing w:w="0" w:type="dxa"/>
                    </w:trPr>
                    <w:tc>
                      <w:tcPr>
                        <w:tcW w:w="60"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7008"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r>
                  <w:tr w:rsidR="005C4B45" w:rsidRPr="005C4B45">
                    <w:trPr>
                      <w:trHeight w:val="96"/>
                      <w:tblCellSpacing w:w="0" w:type="dxa"/>
                    </w:trPr>
                    <w:tc>
                      <w:tcPr>
                        <w:tcW w:w="0" w:type="auto"/>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0" w:type="auto"/>
                        <w:tcBorders>
                          <w:top w:val="nil"/>
                          <w:left w:val="nil"/>
                          <w:bottom w:val="nil"/>
                          <w:right w:val="nil"/>
                        </w:tcBorders>
                        <w:hideMark/>
                      </w:tcPr>
                      <w:p w:rsidR="005C4B45" w:rsidRPr="005C4B45" w:rsidRDefault="005C4B45" w:rsidP="00BB6D68">
                        <w:pPr>
                          <w:numPr>
                            <w:ilvl w:val="0"/>
                            <w:numId w:val="2"/>
                          </w:numPr>
                          <w:rPr>
                            <w:rFonts w:ascii="Calibri" w:hAnsi="Calibri"/>
                            <w:color w:val="1F497D"/>
                            <w:sz w:val="22"/>
                            <w:szCs w:val="22"/>
                          </w:rPr>
                        </w:pPr>
                        <w:r w:rsidRPr="005C4B45">
                          <w:rPr>
                            <w:rFonts w:ascii="Calibri" w:hAnsi="Calibri"/>
                            <w:color w:val="1F497D"/>
                            <w:sz w:val="22"/>
                            <w:szCs w:val="22"/>
                          </w:rPr>
                          <w:t>Ability to develop and maintain strong relationships with internal and external clients</w:t>
                        </w:r>
                      </w:p>
                      <w:p w:rsidR="005C4B45" w:rsidRPr="005C4B45" w:rsidRDefault="005C4B45" w:rsidP="00BB6D68">
                        <w:pPr>
                          <w:numPr>
                            <w:ilvl w:val="0"/>
                            <w:numId w:val="2"/>
                          </w:numPr>
                          <w:rPr>
                            <w:rFonts w:ascii="Calibri" w:hAnsi="Calibri"/>
                            <w:color w:val="1F497D"/>
                            <w:sz w:val="22"/>
                            <w:szCs w:val="22"/>
                          </w:rPr>
                        </w:pPr>
                        <w:r w:rsidRPr="005C4B45">
                          <w:rPr>
                            <w:rFonts w:ascii="Calibri" w:hAnsi="Calibri"/>
                            <w:color w:val="1F497D"/>
                            <w:sz w:val="22"/>
                            <w:szCs w:val="22"/>
                          </w:rPr>
                          <w:t>Excellent analytical, communication and presentation skills</w:t>
                        </w:r>
                      </w:p>
                      <w:p w:rsidR="005C4B45" w:rsidRPr="005C4B45" w:rsidRDefault="005C4B45" w:rsidP="00BB6D68">
                        <w:pPr>
                          <w:numPr>
                            <w:ilvl w:val="0"/>
                            <w:numId w:val="2"/>
                          </w:numPr>
                          <w:rPr>
                            <w:rFonts w:ascii="Calibri" w:hAnsi="Calibri"/>
                            <w:color w:val="1F497D"/>
                            <w:sz w:val="22"/>
                            <w:szCs w:val="22"/>
                          </w:rPr>
                        </w:pPr>
                        <w:r w:rsidRPr="005C4B45">
                          <w:rPr>
                            <w:rFonts w:ascii="Calibri" w:hAnsi="Calibri"/>
                            <w:color w:val="1F497D"/>
                            <w:sz w:val="22"/>
                            <w:szCs w:val="22"/>
                          </w:rPr>
                          <w:t>An energetic self-starter who is detail oriented with strong quantitative skills and enjoys working in a team environment</w:t>
                        </w:r>
                      </w:p>
                      <w:p w:rsidR="005C4B45" w:rsidRPr="005C4B45" w:rsidRDefault="005C4B45" w:rsidP="00BB6D68">
                        <w:pPr>
                          <w:numPr>
                            <w:ilvl w:val="0"/>
                            <w:numId w:val="2"/>
                          </w:numPr>
                          <w:rPr>
                            <w:rFonts w:ascii="Calibri" w:hAnsi="Calibri"/>
                            <w:color w:val="1F497D"/>
                            <w:sz w:val="22"/>
                            <w:szCs w:val="22"/>
                          </w:rPr>
                        </w:pPr>
                        <w:r w:rsidRPr="005C4B45">
                          <w:rPr>
                            <w:rFonts w:ascii="Calibri" w:hAnsi="Calibri"/>
                            <w:color w:val="1F497D"/>
                            <w:sz w:val="22"/>
                            <w:szCs w:val="22"/>
                          </w:rPr>
                          <w:lastRenderedPageBreak/>
                          <w:t>Able to work with little direct supervision and thrives in a high energy environment</w:t>
                        </w:r>
                      </w:p>
                      <w:p w:rsidR="005C4B45" w:rsidRPr="005C4B45" w:rsidRDefault="005C4B45" w:rsidP="00BB6D68">
                        <w:pPr>
                          <w:numPr>
                            <w:ilvl w:val="0"/>
                            <w:numId w:val="2"/>
                          </w:numPr>
                          <w:spacing w:line="96" w:lineRule="atLeast"/>
                          <w:rPr>
                            <w:rFonts w:ascii="Calibri" w:hAnsi="Calibri"/>
                            <w:color w:val="1F497D"/>
                            <w:sz w:val="22"/>
                            <w:szCs w:val="22"/>
                          </w:rPr>
                        </w:pPr>
                        <w:r w:rsidRPr="005C4B45">
                          <w:rPr>
                            <w:rFonts w:ascii="Calibri" w:hAnsi="Calibri"/>
                            <w:color w:val="1F497D"/>
                            <w:sz w:val="22"/>
                            <w:szCs w:val="22"/>
                          </w:rPr>
                          <w:t>Strong knowledge of financial markets, and an understanding of public finance market</w:t>
                        </w:r>
                      </w:p>
                    </w:tc>
                  </w:tr>
                </w:tbl>
                <w:p w:rsidR="005C4B45" w:rsidRPr="005C4B45" w:rsidRDefault="005C4B45">
                  <w:pPr>
                    <w:rPr>
                      <w:rFonts w:ascii="Calibri" w:hAnsi="Calibri"/>
                      <w:color w:val="1F497D"/>
                      <w:sz w:val="22"/>
                      <w:szCs w:val="22"/>
                    </w:rPr>
                  </w:pPr>
                </w:p>
              </w:tc>
            </w:tr>
          </w:tbl>
          <w:p w:rsidR="005C4B45" w:rsidRPr="005C4B45" w:rsidRDefault="005C4B45">
            <w:pPr>
              <w:rPr>
                <w:rFonts w:ascii="Calibri" w:hAnsi="Calibri"/>
                <w:color w:val="1F497D"/>
                <w:sz w:val="22"/>
                <w:szCs w:val="22"/>
              </w:rPr>
            </w:pPr>
          </w:p>
        </w:tc>
        <w:tc>
          <w:tcPr>
            <w:tcW w:w="0" w:type="auto"/>
            <w:vAlign w:val="center"/>
            <w:hideMark/>
          </w:tcPr>
          <w:p w:rsidR="005C4B45" w:rsidRPr="005C4B45" w:rsidRDefault="005C4B45">
            <w:pPr>
              <w:rPr>
                <w:rFonts w:ascii="Calibri" w:hAnsi="Calibri"/>
                <w:color w:val="1F497D"/>
                <w:sz w:val="22"/>
                <w:szCs w:val="22"/>
              </w:rPr>
            </w:pPr>
          </w:p>
        </w:tc>
      </w:tr>
      <w:tr w:rsidR="005C4B45" w:rsidRPr="005C4B45" w:rsidTr="005C4B45">
        <w:trPr>
          <w:trHeight w:val="120"/>
          <w:tblCellSpacing w:w="0" w:type="dxa"/>
        </w:trPr>
        <w:tc>
          <w:tcPr>
            <w:tcW w:w="0" w:type="auto"/>
            <w:gridSpan w:val="4"/>
            <w:vAlign w:val="center"/>
            <w:hideMark/>
          </w:tcPr>
          <w:p w:rsidR="005C4B45" w:rsidRPr="005C4B45" w:rsidRDefault="005C4B45">
            <w:pPr>
              <w:rPr>
                <w:rFonts w:ascii="Calibri" w:hAnsi="Calibri"/>
                <w:color w:val="1F497D"/>
                <w:sz w:val="22"/>
                <w:szCs w:val="22"/>
              </w:rPr>
            </w:pPr>
          </w:p>
        </w:tc>
      </w:tr>
      <w:tr w:rsidR="005C4B45" w:rsidRPr="005C4B45" w:rsidTr="005C4B45">
        <w:trPr>
          <w:trHeight w:val="120"/>
          <w:tblCellSpacing w:w="0" w:type="dxa"/>
        </w:trPr>
        <w:tc>
          <w:tcPr>
            <w:tcW w:w="0" w:type="auto"/>
            <w:gridSpan w:val="4"/>
            <w:vAlign w:val="center"/>
            <w:hideMark/>
          </w:tcPr>
          <w:p w:rsidR="005C4B45" w:rsidRPr="005C4B45" w:rsidRDefault="005C4B45">
            <w:pPr>
              <w:rPr>
                <w:rFonts w:ascii="Calibri" w:hAnsi="Calibri"/>
                <w:color w:val="1F497D"/>
                <w:sz w:val="22"/>
                <w:szCs w:val="22"/>
              </w:rPr>
            </w:pPr>
          </w:p>
        </w:tc>
      </w:tr>
      <w:tr w:rsidR="005C4B45" w:rsidRPr="005C4B45" w:rsidTr="005C4B45">
        <w:trPr>
          <w:trHeight w:val="288"/>
          <w:tblCellSpacing w:w="0" w:type="dxa"/>
        </w:trPr>
        <w:tc>
          <w:tcPr>
            <w:tcW w:w="0" w:type="auto"/>
            <w:gridSpan w:val="2"/>
            <w:vAlign w:val="center"/>
            <w:hideMark/>
          </w:tcPr>
          <w:p w:rsidR="005C4B45" w:rsidRPr="005C4B45" w:rsidRDefault="005C4B45">
            <w:pPr>
              <w:rPr>
                <w:rFonts w:ascii="Calibri" w:hAnsi="Calibri"/>
                <w:b/>
                <w:color w:val="1F497D"/>
                <w:sz w:val="22"/>
                <w:szCs w:val="22"/>
              </w:rPr>
            </w:pPr>
          </w:p>
        </w:tc>
        <w:tc>
          <w:tcPr>
            <w:tcW w:w="0" w:type="auto"/>
            <w:gridSpan w:val="2"/>
            <w:hideMark/>
          </w:tcPr>
          <w:p w:rsidR="005C4B45" w:rsidRPr="005C4B45" w:rsidRDefault="005C4B45">
            <w:pPr>
              <w:rPr>
                <w:rFonts w:ascii="Calibri" w:hAnsi="Calibri"/>
                <w:b/>
                <w:color w:val="1F497D"/>
                <w:sz w:val="22"/>
                <w:szCs w:val="22"/>
              </w:rPr>
            </w:pPr>
            <w:r w:rsidRPr="005C4B45">
              <w:rPr>
                <w:rFonts w:ascii="Calibri" w:hAnsi="Calibri"/>
                <w:b/>
                <w:color w:val="1F497D"/>
                <w:sz w:val="22"/>
                <w:szCs w:val="22"/>
              </w:rPr>
              <w:t xml:space="preserve">Disclaimer </w:t>
            </w:r>
          </w:p>
        </w:tc>
      </w:tr>
      <w:tr w:rsidR="005C4B45" w:rsidRPr="005C4B45" w:rsidTr="005C4B45">
        <w:trPr>
          <w:trHeight w:val="228"/>
          <w:tblCellSpacing w:w="0" w:type="dxa"/>
        </w:trPr>
        <w:tc>
          <w:tcPr>
            <w:tcW w:w="0" w:type="auto"/>
            <w:vAlign w:val="center"/>
            <w:hideMark/>
          </w:tcPr>
          <w:p w:rsidR="005C4B45" w:rsidRPr="005C4B45" w:rsidRDefault="005C4B45">
            <w:pPr>
              <w:rPr>
                <w:rFonts w:ascii="Calibri" w:hAnsi="Calibri"/>
                <w:color w:val="1F497D"/>
                <w:sz w:val="22"/>
                <w:szCs w:val="22"/>
              </w:rPr>
            </w:pPr>
          </w:p>
        </w:tc>
        <w:tc>
          <w:tcPr>
            <w:tcW w:w="0" w:type="auto"/>
            <w:gridSpan w:val="2"/>
            <w:hideMark/>
          </w:tcPr>
          <w:tbl>
            <w:tblPr>
              <w:tblW w:w="7068" w:type="dxa"/>
              <w:tblCellSpacing w:w="0" w:type="dxa"/>
              <w:tblCellMar>
                <w:left w:w="0" w:type="dxa"/>
                <w:right w:w="0" w:type="dxa"/>
              </w:tblCellMar>
              <w:tblLook w:val="04A0" w:firstRow="1" w:lastRow="0" w:firstColumn="1" w:lastColumn="0" w:noHBand="0" w:noVBand="1"/>
            </w:tblPr>
            <w:tblGrid>
              <w:gridCol w:w="7068"/>
            </w:tblGrid>
            <w:tr w:rsidR="005C4B45" w:rsidRPr="005C4B45">
              <w:trPr>
                <w:tblCellSpacing w:w="0" w:type="dxa"/>
              </w:trPr>
              <w:tc>
                <w:tcPr>
                  <w:tcW w:w="7068" w:type="dxa"/>
                  <w:vAlign w:val="center"/>
                  <w:hideMark/>
                </w:tcPr>
                <w:tbl>
                  <w:tblPr>
                    <w:tblW w:w="7068" w:type="dxa"/>
                    <w:tblCellSpacing w:w="0" w:type="dxa"/>
                    <w:tblBorders>
                      <w:top w:val="single" w:sz="8" w:space="0" w:color="E6E6E6"/>
                      <w:left w:val="single" w:sz="8" w:space="0" w:color="E6E6E6"/>
                      <w:bottom w:val="single" w:sz="8" w:space="0" w:color="E6E6E6"/>
                      <w:right w:val="single" w:sz="8" w:space="0" w:color="E6E6E6"/>
                    </w:tblBorders>
                    <w:tblCellMar>
                      <w:left w:w="0" w:type="dxa"/>
                      <w:right w:w="0" w:type="dxa"/>
                    </w:tblCellMar>
                    <w:tblLook w:val="04A0" w:firstRow="1" w:lastRow="0" w:firstColumn="1" w:lastColumn="0" w:noHBand="0" w:noVBand="1"/>
                  </w:tblPr>
                  <w:tblGrid>
                    <w:gridCol w:w="11"/>
                    <w:gridCol w:w="7057"/>
                  </w:tblGrid>
                  <w:tr w:rsidR="005C4B45" w:rsidRPr="005C4B45">
                    <w:trPr>
                      <w:tblCellSpacing w:w="0" w:type="dxa"/>
                    </w:trPr>
                    <w:tc>
                      <w:tcPr>
                        <w:tcW w:w="60"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7008" w:type="dxa"/>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r>
                  <w:tr w:rsidR="005C4B45" w:rsidRPr="005C4B45">
                    <w:trPr>
                      <w:trHeight w:val="96"/>
                      <w:tblCellSpacing w:w="0" w:type="dxa"/>
                    </w:trPr>
                    <w:tc>
                      <w:tcPr>
                        <w:tcW w:w="0" w:type="auto"/>
                        <w:tcBorders>
                          <w:top w:val="nil"/>
                          <w:left w:val="nil"/>
                          <w:bottom w:val="nil"/>
                          <w:right w:val="nil"/>
                        </w:tcBorders>
                        <w:vAlign w:val="center"/>
                        <w:hideMark/>
                      </w:tcPr>
                      <w:p w:rsidR="005C4B45" w:rsidRPr="005C4B45" w:rsidRDefault="005C4B45">
                        <w:pPr>
                          <w:rPr>
                            <w:rFonts w:ascii="Calibri" w:hAnsi="Calibri"/>
                            <w:color w:val="1F497D"/>
                            <w:sz w:val="22"/>
                            <w:szCs w:val="22"/>
                          </w:rPr>
                        </w:pPr>
                      </w:p>
                    </w:tc>
                    <w:tc>
                      <w:tcPr>
                        <w:tcW w:w="0" w:type="auto"/>
                        <w:tcBorders>
                          <w:top w:val="nil"/>
                          <w:left w:val="nil"/>
                          <w:bottom w:val="nil"/>
                          <w:right w:val="nil"/>
                        </w:tcBorders>
                        <w:hideMark/>
                      </w:tcPr>
                      <w:p w:rsidR="005C4B45" w:rsidRPr="005C4B45" w:rsidRDefault="005C4B45" w:rsidP="005C4B45">
                        <w:pPr>
                          <w:spacing w:line="96" w:lineRule="atLeast"/>
                          <w:ind w:left="720"/>
                          <w:rPr>
                            <w:rFonts w:ascii="Calibri" w:hAnsi="Calibri"/>
                            <w:color w:val="1F497D"/>
                            <w:sz w:val="22"/>
                            <w:szCs w:val="22"/>
                          </w:rPr>
                        </w:pPr>
                        <w:r w:rsidRPr="005C4B45">
                          <w:rPr>
                            <w:rFonts w:ascii="Calibri" w:hAnsi="Calibri"/>
                            <w:color w:val="1F497D"/>
                            <w:sz w:val="22"/>
                            <w:szCs w:val="22"/>
                          </w:rPr>
                          <w:t>All offers for employment with Wells Fargo are contingent upon the candidate having successfully completed a criminal background check. Wells Fargo will consider qualified candidates with criminal histories in a manner consistent with the requirements of applicable local, state and Federal law, including Section 19 of the Federal Deposit Insurance Act.</w:t>
                        </w:r>
                        <w:r w:rsidRPr="005C4B45">
                          <w:rPr>
                            <w:rFonts w:ascii="Calibri" w:hAnsi="Calibri"/>
                            <w:color w:val="1F497D"/>
                            <w:sz w:val="22"/>
                            <w:szCs w:val="22"/>
                          </w:rPr>
                          <w:br/>
                        </w:r>
                        <w:r w:rsidRPr="005C4B45">
                          <w:rPr>
                            <w:rFonts w:ascii="Calibri" w:hAnsi="Calibri"/>
                            <w:color w:val="1F497D"/>
                            <w:sz w:val="22"/>
                            <w:szCs w:val="22"/>
                          </w:rPr>
                          <w:br/>
                          <w:t>Relevant military experience is considered for veterans and transitioning service men and women.</w:t>
                        </w:r>
                        <w:r w:rsidRPr="005C4B45">
                          <w:rPr>
                            <w:rFonts w:ascii="Calibri" w:hAnsi="Calibri"/>
                            <w:color w:val="1F497D"/>
                            <w:sz w:val="22"/>
                            <w:szCs w:val="22"/>
                          </w:rPr>
                          <w:br/>
                        </w:r>
                        <w:r w:rsidRPr="005C4B45">
                          <w:rPr>
                            <w:rFonts w:ascii="Calibri" w:hAnsi="Calibri"/>
                            <w:color w:val="1F497D"/>
                            <w:sz w:val="22"/>
                            <w:szCs w:val="22"/>
                          </w:rPr>
                          <w:br/>
                          <w:t>Wells Fargo is an Affirmative Action and Equal Opportunity Employer, Minority/Female/Disabled/Veteran/Gender Identity/Sexual Orientation.</w:t>
                        </w:r>
                      </w:p>
                    </w:tc>
                  </w:tr>
                </w:tbl>
                <w:p w:rsidR="005C4B45" w:rsidRPr="005C4B45" w:rsidRDefault="005C4B45">
                  <w:pPr>
                    <w:rPr>
                      <w:rFonts w:ascii="Calibri" w:hAnsi="Calibri"/>
                      <w:color w:val="1F497D"/>
                      <w:sz w:val="22"/>
                      <w:szCs w:val="22"/>
                    </w:rPr>
                  </w:pPr>
                </w:p>
              </w:tc>
            </w:tr>
          </w:tbl>
          <w:p w:rsidR="005C4B45" w:rsidRPr="005C4B45" w:rsidRDefault="005C4B45">
            <w:pPr>
              <w:rPr>
                <w:rFonts w:ascii="Calibri" w:hAnsi="Calibri"/>
                <w:color w:val="1F497D"/>
                <w:sz w:val="22"/>
                <w:szCs w:val="22"/>
              </w:rPr>
            </w:pPr>
          </w:p>
        </w:tc>
        <w:tc>
          <w:tcPr>
            <w:tcW w:w="0" w:type="auto"/>
            <w:vAlign w:val="center"/>
            <w:hideMark/>
          </w:tcPr>
          <w:p w:rsidR="005C4B45" w:rsidRPr="005C4B45" w:rsidRDefault="005C4B45">
            <w:pPr>
              <w:rPr>
                <w:rFonts w:ascii="Calibri" w:hAnsi="Calibri"/>
                <w:color w:val="1F497D"/>
                <w:sz w:val="22"/>
                <w:szCs w:val="22"/>
              </w:rPr>
            </w:pPr>
          </w:p>
        </w:tc>
      </w:tr>
    </w:tbl>
    <w:p w:rsidR="009E7F8F" w:rsidRDefault="009E7F8F">
      <w:pPr>
        <w:rPr>
          <w:rFonts w:ascii="Calibri" w:hAnsi="Calibri"/>
          <w:color w:val="1F497D"/>
          <w:sz w:val="22"/>
          <w:szCs w:val="22"/>
        </w:rPr>
      </w:pPr>
    </w:p>
    <w:p w:rsidR="005C4B45" w:rsidRDefault="005C4B45">
      <w:pPr>
        <w:rPr>
          <w:rFonts w:ascii="Calibri" w:hAnsi="Calibri"/>
          <w:color w:val="1F497D"/>
          <w:sz w:val="22"/>
          <w:szCs w:val="22"/>
        </w:rPr>
      </w:pPr>
    </w:p>
    <w:p w:rsidR="005C4B45" w:rsidRDefault="005C4B45">
      <w:pPr>
        <w:rPr>
          <w:rFonts w:ascii="Calibri" w:hAnsi="Calibri"/>
          <w:color w:val="1F497D"/>
          <w:sz w:val="22"/>
          <w:szCs w:val="22"/>
        </w:rPr>
      </w:pPr>
    </w:p>
    <w:p w:rsidR="005C4B45" w:rsidRDefault="005C4B45">
      <w:pPr>
        <w:rPr>
          <w:rFonts w:ascii="Calibri" w:hAnsi="Calibri"/>
          <w:color w:val="1F497D"/>
          <w:sz w:val="22"/>
          <w:szCs w:val="22"/>
        </w:rPr>
      </w:pPr>
    </w:p>
    <w:p w:rsidR="005C4B45" w:rsidRDefault="005C4B45" w:rsidP="005C4B45">
      <w:r>
        <w:rPr>
          <w:rFonts w:ascii="Calibri" w:hAnsi="Calibri"/>
          <w:color w:val="1F497D"/>
          <w:sz w:val="22"/>
          <w:szCs w:val="22"/>
        </w:rPr>
        <w:t xml:space="preserve">To apply please visit </w:t>
      </w:r>
      <w:hyperlink r:id="rId6" w:history="1">
        <w:r w:rsidRPr="00DF660E">
          <w:rPr>
            <w:rStyle w:val="Hyperlink"/>
            <w:rFonts w:ascii="Calibri" w:hAnsi="Calibri"/>
            <w:sz w:val="22"/>
            <w:szCs w:val="22"/>
          </w:rPr>
          <w:t>www.wellsfargo.com/careers</w:t>
        </w:r>
      </w:hyperlink>
      <w:r>
        <w:rPr>
          <w:rFonts w:ascii="Calibri" w:hAnsi="Calibri"/>
          <w:color w:val="1F497D"/>
          <w:sz w:val="22"/>
          <w:szCs w:val="22"/>
        </w:rPr>
        <w:t xml:space="preserve"> and search for Job Opening ID </w:t>
      </w:r>
      <w:r w:rsidRPr="005C4B45">
        <w:rPr>
          <w:rFonts w:ascii="Calibri" w:hAnsi="Calibri"/>
          <w:b/>
          <w:color w:val="1F497D"/>
          <w:sz w:val="22"/>
          <w:szCs w:val="22"/>
        </w:rPr>
        <w:t>5350002</w:t>
      </w:r>
    </w:p>
    <w:p w:rsidR="005C4B45" w:rsidRPr="005C4B45" w:rsidRDefault="005C4B45">
      <w:pPr>
        <w:rPr>
          <w:rFonts w:ascii="Calibri" w:hAnsi="Calibri"/>
          <w:color w:val="1F497D"/>
          <w:sz w:val="22"/>
          <w:szCs w:val="22"/>
        </w:rPr>
      </w:pPr>
    </w:p>
    <w:sectPr w:rsidR="005C4B45" w:rsidRPr="005C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0FB0"/>
    <w:multiLevelType w:val="multilevel"/>
    <w:tmpl w:val="EEFA7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945231F"/>
    <w:multiLevelType w:val="multilevel"/>
    <w:tmpl w:val="3A1ED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45"/>
    <w:rsid w:val="005C4B45"/>
    <w:rsid w:val="007E2EF3"/>
    <w:rsid w:val="009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45"/>
    <w:rPr>
      <w:color w:val="0000FF" w:themeColor="hyperlink"/>
      <w:u w:val="single"/>
    </w:rPr>
  </w:style>
  <w:style w:type="character" w:styleId="FollowedHyperlink">
    <w:name w:val="FollowedHyperlink"/>
    <w:basedOn w:val="DefaultParagraphFont"/>
    <w:uiPriority w:val="99"/>
    <w:semiHidden/>
    <w:unhideWhenUsed/>
    <w:rsid w:val="005C4B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45"/>
    <w:rPr>
      <w:color w:val="0000FF" w:themeColor="hyperlink"/>
      <w:u w:val="single"/>
    </w:rPr>
  </w:style>
  <w:style w:type="character" w:styleId="FollowedHyperlink">
    <w:name w:val="FollowedHyperlink"/>
    <w:basedOn w:val="DefaultParagraphFont"/>
    <w:uiPriority w:val="99"/>
    <w:semiHidden/>
    <w:unhideWhenUsed/>
    <w:rsid w:val="005C4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sfargo.com/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Herschberger, Kirsten</dc:creator>
  <cp:lastModifiedBy>Herschberger, Kirsten</cp:lastModifiedBy>
  <cp:revision>2</cp:revision>
  <dcterms:created xsi:type="dcterms:W3CDTF">2017-09-11T15:50:00Z</dcterms:created>
  <dcterms:modified xsi:type="dcterms:W3CDTF">2017-09-11T15:55:00Z</dcterms:modified>
</cp:coreProperties>
</file>